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7" w:rsidRDefault="002D7587" w:rsidP="00B10144">
      <w:pPr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FB6407" w:rsidRPr="00FB6407" w:rsidRDefault="002D7587" w:rsidP="00356914">
      <w:pPr>
        <w:spacing w:line="360" w:lineRule="auto"/>
        <w:ind w:left="-540" w:right="-45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407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 xml:space="preserve">Eligible/Ineligible Firms/Bidders </w:t>
      </w:r>
      <w:r w:rsidR="00FB6407" w:rsidRPr="006B64A5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 xml:space="preserve">and Technical Bid Marks </w:t>
      </w:r>
      <w:r w:rsidRPr="006B64A5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>for</w:t>
      </w:r>
      <w:r w:rsidRPr="00FB6407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 xml:space="preserve"> Tender No.WUS</w:t>
      </w:r>
      <w:r w:rsidR="00FB6407" w:rsidRPr="00FB6407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</w:rPr>
        <w:t>/Proc/2024/01 for the Supply</w:t>
      </w:r>
      <w:r w:rsidR="00FB6407" w:rsidRPr="00FB64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Installation of</w:t>
      </w:r>
      <w:r w:rsidR="00FB6407" w:rsidRPr="00FB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IT &amp; Electrical Equipment to Women University Swabi.</w:t>
      </w:r>
    </w:p>
    <w:p w:rsidR="007D445E" w:rsidRPr="00B10144" w:rsidRDefault="00FB6407" w:rsidP="00356914">
      <w:pPr>
        <w:ind w:left="-432" w:right="-432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With reference to the invited Tender No.WUS/Proc/2024/1 for </w:t>
      </w:r>
      <w:r w:rsidR="00356914">
        <w:rPr>
          <w:rFonts w:ascii="Times New Roman" w:eastAsia="Times New Roman" w:hAnsi="Times New Roman" w:cs="Times New Roman"/>
          <w:bCs/>
          <w:sz w:val="24"/>
          <w:szCs w:val="32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Supply of IT and Electrical Equipment, on the recommendation of Central Purchase Committee and approval of  the Vice Chancellor the </w:t>
      </w:r>
      <w:r w:rsidR="00B10144">
        <w:rPr>
          <w:rFonts w:ascii="Times New Roman" w:eastAsia="Times New Roman" w:hAnsi="Times New Roman" w:cs="Times New Roman"/>
          <w:bCs/>
          <w:sz w:val="24"/>
          <w:szCs w:val="32"/>
        </w:rPr>
        <w:t>E</w:t>
      </w:r>
      <w:r w:rsidR="007D445E" w:rsidRPr="00B10144">
        <w:rPr>
          <w:rFonts w:ascii="Times New Roman" w:eastAsia="Times New Roman" w:hAnsi="Times New Roman" w:cs="Times New Roman"/>
          <w:bCs/>
          <w:sz w:val="24"/>
          <w:szCs w:val="32"/>
        </w:rPr>
        <w:t>ligib</w:t>
      </w:r>
      <w:r w:rsidR="00B10144">
        <w:rPr>
          <w:rFonts w:ascii="Times New Roman" w:eastAsia="Times New Roman" w:hAnsi="Times New Roman" w:cs="Times New Roman"/>
          <w:bCs/>
          <w:sz w:val="24"/>
          <w:szCs w:val="32"/>
        </w:rPr>
        <w:t>le and I</w:t>
      </w:r>
      <w:r w:rsidR="007D445E" w:rsidRPr="00B10144">
        <w:rPr>
          <w:rFonts w:ascii="Times New Roman" w:eastAsia="Times New Roman" w:hAnsi="Times New Roman" w:cs="Times New Roman"/>
          <w:bCs/>
          <w:sz w:val="24"/>
          <w:szCs w:val="32"/>
        </w:rPr>
        <w:t>neligible firms</w:t>
      </w:r>
      <w:r w:rsidR="002D7587">
        <w:rPr>
          <w:rFonts w:ascii="Times New Roman" w:eastAsia="Times New Roman" w:hAnsi="Times New Roman" w:cs="Times New Roman"/>
          <w:bCs/>
          <w:sz w:val="24"/>
          <w:szCs w:val="32"/>
        </w:rPr>
        <w:t>/</w:t>
      </w:r>
      <w:r w:rsidR="00B10144">
        <w:rPr>
          <w:rFonts w:ascii="Times New Roman" w:eastAsia="Times New Roman" w:hAnsi="Times New Roman" w:cs="Times New Roman"/>
          <w:bCs/>
          <w:sz w:val="24"/>
          <w:szCs w:val="32"/>
        </w:rPr>
        <w:t xml:space="preserve">Bidders </w:t>
      </w:r>
      <w:r w:rsidR="002D7587">
        <w:rPr>
          <w:rFonts w:ascii="Times New Roman" w:eastAsia="Times New Roman" w:hAnsi="Times New Roman" w:cs="Times New Roman"/>
          <w:bCs/>
          <w:sz w:val="24"/>
          <w:szCs w:val="32"/>
        </w:rPr>
        <w:t>and Technical Bid Marks along w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ith Committee remarks is</w:t>
      </w:r>
      <w:r w:rsidR="002D7587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="007D445E" w:rsidRPr="00B10144">
        <w:rPr>
          <w:rFonts w:ascii="Times New Roman" w:eastAsia="Times New Roman" w:hAnsi="Times New Roman" w:cs="Times New Roman"/>
          <w:bCs/>
          <w:sz w:val="24"/>
          <w:szCs w:val="32"/>
        </w:rPr>
        <w:t>given below;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720"/>
        <w:gridCol w:w="3330"/>
        <w:gridCol w:w="6300"/>
      </w:tblGrid>
      <w:tr w:rsidR="007D445E" w:rsidTr="00D67F48">
        <w:tc>
          <w:tcPr>
            <w:tcW w:w="720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S.No</w:t>
            </w:r>
          </w:p>
        </w:tc>
        <w:tc>
          <w:tcPr>
            <w:tcW w:w="3330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Firm/Bidder Name</w:t>
            </w:r>
          </w:p>
        </w:tc>
        <w:tc>
          <w:tcPr>
            <w:tcW w:w="6300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Committee Remarks</w:t>
            </w:r>
          </w:p>
        </w:tc>
      </w:tr>
      <w:tr w:rsidR="007D445E" w:rsidTr="00D67F48">
        <w:tc>
          <w:tcPr>
            <w:tcW w:w="72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333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O &amp; A Business Machine</w:t>
            </w:r>
          </w:p>
        </w:tc>
        <w:tc>
          <w:tcPr>
            <w:tcW w:w="6300" w:type="dxa"/>
            <w:vAlign w:val="center"/>
          </w:tcPr>
          <w:p w:rsidR="00FB6407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The firm/Bidder submitted all the required documents mentioned in the tender document for </w:t>
            </w:r>
            <w:r w:rsidR="00FB6407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eligibility. </w:t>
            </w:r>
          </w:p>
          <w:p w:rsidR="007D445E" w:rsidRDefault="00FB6407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The Committee found eligible.</w:t>
            </w:r>
          </w:p>
        </w:tc>
      </w:tr>
      <w:tr w:rsidR="007D445E" w:rsidTr="00D67F48">
        <w:tc>
          <w:tcPr>
            <w:tcW w:w="72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333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Combined Engineering Services</w:t>
            </w:r>
          </w:p>
        </w:tc>
        <w:tc>
          <w:tcPr>
            <w:tcW w:w="6300" w:type="dxa"/>
            <w:vAlign w:val="center"/>
          </w:tcPr>
          <w:p w:rsidR="00FB6407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The firm/Bidder submitted all the required documents menti</w:t>
            </w:r>
            <w:r w:rsidR="00FB6407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oned in the tender document for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eligibility.</w:t>
            </w:r>
            <w:r w:rsidR="00FB6407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</w:t>
            </w:r>
          </w:p>
          <w:p w:rsidR="007D445E" w:rsidRDefault="00FB6407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The Committee found eligible.</w:t>
            </w:r>
          </w:p>
        </w:tc>
      </w:tr>
      <w:tr w:rsidR="007D445E" w:rsidTr="00D67F48">
        <w:tc>
          <w:tcPr>
            <w:tcW w:w="72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333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AURSoft Private Limited </w:t>
            </w:r>
          </w:p>
        </w:tc>
        <w:tc>
          <w:tcPr>
            <w:tcW w:w="6300" w:type="dxa"/>
            <w:vAlign w:val="center"/>
          </w:tcPr>
          <w:p w:rsidR="007D445E" w:rsidRDefault="007D445E" w:rsidP="00D67F4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The firm/ bidder fo</w:t>
            </w:r>
            <w:r w:rsidR="00FB6407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und ineligible by the Committee,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due to less than 05 years of experience and non submission of Tax registration Certificate. Firm Sales Tax Regi</w:t>
            </w:r>
            <w:r w:rsidR="0035691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stration was 24 August 2020. The attached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upply Orders of the firm is after 24</w:t>
            </w:r>
            <w:r w:rsidRPr="009B0502">
              <w:rPr>
                <w:rFonts w:ascii="Times New Roman" w:eastAsia="Times New Roman" w:hAnsi="Times New Roman" w:cs="Times New Roman"/>
                <w:bCs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August 2020.</w:t>
            </w:r>
            <w:r w:rsidR="00FB6407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The Committee found Ineligible.</w:t>
            </w:r>
          </w:p>
        </w:tc>
      </w:tr>
    </w:tbl>
    <w:p w:rsidR="00B10144" w:rsidRDefault="00B10144" w:rsidP="006B64A5">
      <w:pPr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7D445E" w:rsidRPr="00DF3623" w:rsidRDefault="007D445E" w:rsidP="007D445E">
      <w:pPr>
        <w:pStyle w:val="ListParagraph"/>
        <w:ind w:left="-432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Detail of the technical bid Marks of the above 02 eligible Firms/bidders is given below;</w:t>
      </w:r>
    </w:p>
    <w:tbl>
      <w:tblPr>
        <w:tblStyle w:val="TableGrid"/>
        <w:tblW w:w="10350" w:type="dxa"/>
        <w:tblInd w:w="-342" w:type="dxa"/>
        <w:tblLook w:val="04A0"/>
      </w:tblPr>
      <w:tblGrid>
        <w:gridCol w:w="719"/>
        <w:gridCol w:w="3163"/>
        <w:gridCol w:w="1467"/>
        <w:gridCol w:w="2068"/>
        <w:gridCol w:w="2933"/>
      </w:tblGrid>
      <w:tr w:rsidR="007D445E" w:rsidTr="00356914">
        <w:tc>
          <w:tcPr>
            <w:tcW w:w="719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S.No</w:t>
            </w:r>
          </w:p>
        </w:tc>
        <w:tc>
          <w:tcPr>
            <w:tcW w:w="3163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Firm/Bidder Name</w:t>
            </w:r>
          </w:p>
        </w:tc>
        <w:tc>
          <w:tcPr>
            <w:tcW w:w="1467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Total marks</w:t>
            </w:r>
          </w:p>
        </w:tc>
        <w:tc>
          <w:tcPr>
            <w:tcW w:w="2068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Obtained Marks</w:t>
            </w:r>
          </w:p>
        </w:tc>
        <w:tc>
          <w:tcPr>
            <w:tcW w:w="2933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Committee Remarks</w:t>
            </w:r>
          </w:p>
        </w:tc>
      </w:tr>
      <w:tr w:rsidR="007D445E" w:rsidTr="00356914">
        <w:tc>
          <w:tcPr>
            <w:tcW w:w="719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3163" w:type="dxa"/>
          </w:tcPr>
          <w:p w:rsidR="007D445E" w:rsidRDefault="007D445E" w:rsidP="00D67F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O &amp; A Business Machine</w:t>
            </w:r>
          </w:p>
        </w:tc>
        <w:tc>
          <w:tcPr>
            <w:tcW w:w="1467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</w:t>
            </w:r>
          </w:p>
        </w:tc>
        <w:tc>
          <w:tcPr>
            <w:tcW w:w="2068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79</w:t>
            </w:r>
          </w:p>
        </w:tc>
        <w:tc>
          <w:tcPr>
            <w:tcW w:w="2933" w:type="dxa"/>
          </w:tcPr>
          <w:p w:rsidR="007D445E" w:rsidRDefault="007D445E" w:rsidP="00D67F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Technically Responsive</w:t>
            </w:r>
          </w:p>
        </w:tc>
      </w:tr>
      <w:tr w:rsidR="007D445E" w:rsidTr="00356914">
        <w:tc>
          <w:tcPr>
            <w:tcW w:w="719" w:type="dxa"/>
          </w:tcPr>
          <w:p w:rsidR="007D445E" w:rsidRDefault="007D445E" w:rsidP="006B64A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3163" w:type="dxa"/>
          </w:tcPr>
          <w:p w:rsidR="007D445E" w:rsidRDefault="007D445E" w:rsidP="006B64A5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Combined Engineering Services</w:t>
            </w:r>
          </w:p>
        </w:tc>
        <w:tc>
          <w:tcPr>
            <w:tcW w:w="1467" w:type="dxa"/>
          </w:tcPr>
          <w:p w:rsidR="007D445E" w:rsidRDefault="007D445E" w:rsidP="006B64A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</w:t>
            </w:r>
          </w:p>
        </w:tc>
        <w:tc>
          <w:tcPr>
            <w:tcW w:w="2068" w:type="dxa"/>
          </w:tcPr>
          <w:p w:rsidR="007D445E" w:rsidRDefault="007D445E" w:rsidP="006B64A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96</w:t>
            </w:r>
          </w:p>
        </w:tc>
        <w:tc>
          <w:tcPr>
            <w:tcW w:w="2933" w:type="dxa"/>
          </w:tcPr>
          <w:p w:rsidR="007D445E" w:rsidRDefault="007D445E" w:rsidP="006B64A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Technically responsive</w:t>
            </w:r>
          </w:p>
        </w:tc>
      </w:tr>
    </w:tbl>
    <w:p w:rsidR="00356914" w:rsidRDefault="00356914" w:rsidP="006B64A5">
      <w:pPr>
        <w:spacing w:line="240" w:lineRule="auto"/>
        <w:ind w:right="-97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356914" w:rsidRDefault="007D445E" w:rsidP="006B64A5">
      <w:pPr>
        <w:spacing w:line="240" w:lineRule="auto"/>
        <w:ind w:left="-432" w:right="-432"/>
        <w:jc w:val="both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</w:rPr>
        <w:t>T</w:t>
      </w:r>
      <w:r w:rsidR="00356914">
        <w:rPr>
          <w:rFonts w:ascii="Times New Roman" w:hAnsi="Times New Roman" w:cs="Times New Roman"/>
          <w:bCs/>
          <w:iCs/>
          <w:sz w:val="24"/>
        </w:rPr>
        <w:t>he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financial proposal </w:t>
      </w:r>
      <w:r>
        <w:rPr>
          <w:rFonts w:ascii="Times New Roman" w:hAnsi="Times New Roman" w:cs="Times New Roman"/>
          <w:bCs/>
          <w:iCs/>
          <w:sz w:val="24"/>
        </w:rPr>
        <w:t xml:space="preserve">of only eligible and technically responsive </w:t>
      </w:r>
      <w:r w:rsidR="00356914">
        <w:rPr>
          <w:rFonts w:ascii="Times New Roman" w:hAnsi="Times New Roman" w:cs="Times New Roman"/>
          <w:bCs/>
          <w:iCs/>
          <w:sz w:val="24"/>
        </w:rPr>
        <w:t xml:space="preserve">above 02 </w:t>
      </w:r>
      <w:r>
        <w:rPr>
          <w:rFonts w:ascii="Times New Roman" w:hAnsi="Times New Roman" w:cs="Times New Roman"/>
          <w:bCs/>
          <w:iCs/>
          <w:sz w:val="24"/>
        </w:rPr>
        <w:t xml:space="preserve">firms/bidders will be opened 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r w:rsidR="00356914"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Tuesday 14-05-2024. </w:t>
      </w:r>
    </w:p>
    <w:p w:rsidR="00356914" w:rsidRDefault="00356914" w:rsidP="00356914">
      <w:pPr>
        <w:spacing w:after="0"/>
        <w:ind w:left="-432" w:right="-432"/>
        <w:jc w:val="right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Procurement Officer </w:t>
      </w:r>
    </w:p>
    <w:p w:rsidR="00F74D3C" w:rsidRDefault="00356914" w:rsidP="006B64A5">
      <w:pPr>
        <w:spacing w:after="0"/>
        <w:ind w:left="-432" w:right="-432"/>
        <w:jc w:val="right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Women University Swabi </w:t>
      </w:r>
      <w:r w:rsidR="00F74D3C"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Copy to: </w:t>
      </w:r>
    </w:p>
    <w:p w:rsidR="00F74D3C" w:rsidRDefault="00F74D3C" w:rsidP="006B64A5">
      <w:pPr>
        <w:spacing w:after="0"/>
        <w:ind w:left="-432" w:right="-432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PS to Vice Chancellor </w:t>
      </w:r>
    </w:p>
    <w:p w:rsidR="006B64A5" w:rsidRDefault="00F74D3C" w:rsidP="006B64A5">
      <w:pPr>
        <w:spacing w:after="0"/>
        <w:ind w:left="-432" w:right="-432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PS to Registrar/</w:t>
      </w:r>
      <w:r w:rsidR="006B64A5"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Convener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Central purchase Committee</w:t>
      </w:r>
      <w:r w:rsidR="006B64A5"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B64A5" w:rsidRDefault="006B64A5" w:rsidP="006B64A5">
      <w:pPr>
        <w:spacing w:after="0"/>
        <w:ind w:left="-432" w:right="-432"/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Incharge IT Section WUS for Uploading on university Website.</w:t>
      </w:r>
    </w:p>
    <w:p w:rsidR="00F74D3C" w:rsidRPr="00356914" w:rsidRDefault="006B64A5" w:rsidP="006B64A5">
      <w:pPr>
        <w:spacing w:after="0"/>
        <w:ind w:left="-432" w:right="-43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Office File </w:t>
      </w:r>
      <w:r w:rsidR="00F74D3C">
        <w:rPr>
          <w:rStyle w:val="ilfuv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F74D3C" w:rsidRPr="00356914" w:rsidSect="00343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28" w:rsidRDefault="005F3728" w:rsidP="002D7587">
      <w:pPr>
        <w:spacing w:after="0" w:line="240" w:lineRule="auto"/>
      </w:pPr>
      <w:r>
        <w:separator/>
      </w:r>
    </w:p>
  </w:endnote>
  <w:endnote w:type="continuationSeparator" w:id="1">
    <w:p w:rsidR="005F3728" w:rsidRDefault="005F3728" w:rsidP="002D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28" w:rsidRDefault="005F3728" w:rsidP="002D7587">
      <w:pPr>
        <w:spacing w:after="0" w:line="240" w:lineRule="auto"/>
      </w:pPr>
      <w:r>
        <w:separator/>
      </w:r>
    </w:p>
  </w:footnote>
  <w:footnote w:type="continuationSeparator" w:id="1">
    <w:p w:rsidR="005F3728" w:rsidRDefault="005F3728" w:rsidP="002D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87" w:rsidRPr="00C10E9F" w:rsidRDefault="002D7587" w:rsidP="002D7587">
    <w:pPr>
      <w:autoSpaceDE w:val="0"/>
      <w:autoSpaceDN w:val="0"/>
      <w:adjustRightInd w:val="0"/>
      <w:contextualSpacing/>
      <w:rPr>
        <w:rFonts w:ascii="Calibri" w:hAnsi="Calibri" w:cs="Calibri"/>
        <w:b/>
        <w:bCs/>
        <w:sz w:val="36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-137160</wp:posOffset>
          </wp:positionV>
          <wp:extent cx="1280795" cy="1276350"/>
          <wp:effectExtent l="19050" t="0" r="0" b="0"/>
          <wp:wrapNone/>
          <wp:docPr id="1" name="Picture 2" descr="Description: F:\Registrar office\vc folder statues act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:\Registrar office\vc folder statues act\logo-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36"/>
        <w:szCs w:val="40"/>
      </w:rPr>
      <w:t xml:space="preserve">                                       Procurement</w:t>
    </w:r>
    <w:r w:rsidRPr="00C10E9F">
      <w:rPr>
        <w:rFonts w:ascii="Calibri" w:hAnsi="Calibri" w:cs="Calibri"/>
        <w:b/>
        <w:bCs/>
        <w:sz w:val="36"/>
        <w:szCs w:val="40"/>
      </w:rPr>
      <w:t xml:space="preserve"> Office</w:t>
    </w:r>
  </w:p>
  <w:p w:rsidR="002D7587" w:rsidRPr="00C10E9F" w:rsidRDefault="002D7587" w:rsidP="002D7587">
    <w:pPr>
      <w:autoSpaceDE w:val="0"/>
      <w:autoSpaceDN w:val="0"/>
      <w:adjustRightInd w:val="0"/>
      <w:contextualSpacing/>
      <w:jc w:val="center"/>
      <w:rPr>
        <w:rFonts w:ascii="Calibri" w:hAnsi="Calibri" w:cs="Calibri"/>
        <w:sz w:val="2"/>
      </w:rPr>
    </w:pPr>
    <w:r w:rsidRPr="00C10E9F">
      <w:rPr>
        <w:rFonts w:ascii="Calibri" w:hAnsi="Calibri" w:cs="Calibri"/>
        <w:b/>
        <w:bCs/>
        <w:sz w:val="20"/>
        <w:szCs w:val="40"/>
      </w:rPr>
      <w:t xml:space="preserve"> </w:t>
    </w:r>
  </w:p>
  <w:p w:rsidR="002D7587" w:rsidRPr="00C10E9F" w:rsidRDefault="002D7587" w:rsidP="002D7587">
    <w:pPr>
      <w:autoSpaceDE w:val="0"/>
      <w:autoSpaceDN w:val="0"/>
      <w:adjustRightInd w:val="0"/>
      <w:contextualSpacing/>
      <w:jc w:val="center"/>
      <w:rPr>
        <w:rFonts w:ascii="Algerian" w:hAnsi="Algerian" w:cs="Algerian"/>
        <w:sz w:val="40"/>
        <w:szCs w:val="44"/>
      </w:rPr>
    </w:pPr>
    <w:r w:rsidRPr="00C10E9F">
      <w:rPr>
        <w:rFonts w:ascii="Algerian" w:hAnsi="Algerian" w:cs="Algerian"/>
        <w:sz w:val="40"/>
        <w:szCs w:val="44"/>
      </w:rPr>
      <w:t>Women University Swabi</w:t>
    </w:r>
  </w:p>
  <w:p w:rsidR="002D7587" w:rsidRPr="00C10E9F" w:rsidRDefault="002D7587" w:rsidP="002D7587">
    <w:pPr>
      <w:autoSpaceDE w:val="0"/>
      <w:autoSpaceDN w:val="0"/>
      <w:adjustRightInd w:val="0"/>
      <w:contextualSpacing/>
      <w:jc w:val="center"/>
      <w:rPr>
        <w:b/>
        <w:bCs/>
        <w:szCs w:val="26"/>
      </w:rPr>
    </w:pPr>
    <w:r w:rsidRPr="00C10E9F">
      <w:rPr>
        <w:b/>
        <w:bCs/>
        <w:szCs w:val="26"/>
      </w:rPr>
      <w:t xml:space="preserve"> Topi Road</w:t>
    </w:r>
    <w:r>
      <w:rPr>
        <w:b/>
        <w:bCs/>
        <w:szCs w:val="26"/>
      </w:rPr>
      <w:t>, Main Campus (Kotha)</w:t>
    </w:r>
    <w:r w:rsidRPr="00C10E9F">
      <w:rPr>
        <w:b/>
        <w:bCs/>
        <w:szCs w:val="26"/>
      </w:rPr>
      <w:t xml:space="preserve">, </w:t>
    </w:r>
    <w:r>
      <w:rPr>
        <w:b/>
        <w:bCs/>
        <w:szCs w:val="26"/>
      </w:rPr>
      <w:t xml:space="preserve">Tehsil Topi, District </w:t>
    </w:r>
    <w:r w:rsidRPr="00C10E9F">
      <w:rPr>
        <w:b/>
        <w:bCs/>
        <w:szCs w:val="26"/>
      </w:rPr>
      <w:t>Swabi</w:t>
    </w:r>
  </w:p>
  <w:p w:rsidR="002D7587" w:rsidRPr="00C10E9F" w:rsidRDefault="002D7587" w:rsidP="002D7587">
    <w:pPr>
      <w:autoSpaceDE w:val="0"/>
      <w:autoSpaceDN w:val="0"/>
      <w:adjustRightInd w:val="0"/>
      <w:contextualSpacing/>
      <w:jc w:val="center"/>
      <w:rPr>
        <w:b/>
        <w:bCs/>
        <w:sz w:val="4"/>
        <w:szCs w:val="8"/>
      </w:rPr>
    </w:pPr>
  </w:p>
  <w:p w:rsidR="002D7587" w:rsidRDefault="002D7587" w:rsidP="002D7587">
    <w:pPr>
      <w:autoSpaceDE w:val="0"/>
      <w:autoSpaceDN w:val="0"/>
      <w:adjustRightInd w:val="0"/>
      <w:contextualSpacing/>
      <w:jc w:val="center"/>
      <w:rPr>
        <w:sz w:val="20"/>
      </w:rPr>
    </w:pPr>
    <w:r w:rsidRPr="00C10E9F">
      <w:rPr>
        <w:sz w:val="20"/>
      </w:rPr>
      <w:t xml:space="preserve">Phone No. </w:t>
    </w:r>
    <w:r>
      <w:rPr>
        <w:caps/>
        <w:sz w:val="20"/>
      </w:rPr>
      <w:t>(0938) 221131</w:t>
    </w:r>
    <w:r w:rsidRPr="00C10E9F">
      <w:rPr>
        <w:caps/>
        <w:sz w:val="20"/>
      </w:rPr>
      <w:t xml:space="preserve">, </w:t>
    </w:r>
    <w:r w:rsidRPr="00C10E9F">
      <w:rPr>
        <w:sz w:val="20"/>
      </w:rPr>
      <w:t xml:space="preserve">Fax No. </w:t>
    </w:r>
    <w:r w:rsidRPr="00C10E9F">
      <w:rPr>
        <w:caps/>
        <w:sz w:val="20"/>
      </w:rPr>
      <w:t>(0938) 221138</w:t>
    </w:r>
  </w:p>
  <w:p w:rsidR="002D7587" w:rsidRPr="002D7587" w:rsidRDefault="002D7587" w:rsidP="002D7587">
    <w:pPr>
      <w:autoSpaceDE w:val="0"/>
      <w:autoSpaceDN w:val="0"/>
      <w:adjustRightInd w:val="0"/>
      <w:contextualSpacing/>
      <w:jc w:val="center"/>
      <w:rPr>
        <w:sz w:val="20"/>
      </w:rPr>
    </w:pPr>
  </w:p>
  <w:p w:rsidR="002D7587" w:rsidRPr="002D7587" w:rsidRDefault="002D7587" w:rsidP="002D7587">
    <w:pPr>
      <w:autoSpaceDE w:val="0"/>
      <w:autoSpaceDN w:val="0"/>
      <w:adjustRightInd w:val="0"/>
      <w:ind w:right="-477"/>
      <w:jc w:val="both"/>
      <w:rPr>
        <w:b/>
        <w:bCs/>
        <w:sz w:val="21"/>
        <w:szCs w:val="21"/>
        <w:u w:val="single"/>
      </w:rPr>
    </w:pPr>
    <w:r>
      <w:rPr>
        <w:b/>
        <w:bCs/>
        <w:sz w:val="21"/>
        <w:szCs w:val="21"/>
        <w:u w:val="single"/>
      </w:rPr>
      <w:t>No.WUS/Pro</w:t>
    </w:r>
    <w:r w:rsidRPr="00A92821">
      <w:rPr>
        <w:b/>
        <w:bCs/>
        <w:sz w:val="21"/>
        <w:szCs w:val="21"/>
        <w:u w:val="single"/>
      </w:rPr>
      <w:t xml:space="preserve"> /20</w:t>
    </w:r>
    <w:r>
      <w:rPr>
        <w:b/>
        <w:bCs/>
        <w:sz w:val="21"/>
        <w:szCs w:val="21"/>
        <w:u w:val="single"/>
      </w:rPr>
      <w:t>24</w:t>
    </w:r>
    <w:r w:rsidRPr="00A92821">
      <w:rPr>
        <w:b/>
        <w:bCs/>
        <w:sz w:val="21"/>
        <w:szCs w:val="21"/>
        <w:u w:val="single"/>
      </w:rPr>
      <w:t xml:space="preserve">/ </w:t>
    </w:r>
    <w:r>
      <w:rPr>
        <w:b/>
        <w:bCs/>
        <w:sz w:val="21"/>
        <w:szCs w:val="21"/>
        <w:u w:val="single"/>
      </w:rPr>
      <w:t xml:space="preserve">03                </w:t>
    </w:r>
    <w:r w:rsidRPr="00A92821">
      <w:rPr>
        <w:b/>
        <w:bCs/>
        <w:sz w:val="21"/>
        <w:szCs w:val="21"/>
        <w:u w:val="single"/>
      </w:rPr>
      <w:t xml:space="preserve">                                       </w:t>
    </w:r>
    <w:r>
      <w:rPr>
        <w:b/>
        <w:bCs/>
        <w:sz w:val="21"/>
        <w:szCs w:val="21"/>
        <w:u w:val="single"/>
      </w:rPr>
      <w:t xml:space="preserve">                                                                          Date: 06-05</w:t>
    </w:r>
    <w:r w:rsidRPr="00A92821">
      <w:rPr>
        <w:b/>
        <w:bCs/>
        <w:sz w:val="21"/>
        <w:szCs w:val="21"/>
        <w:u w:val="single"/>
      </w:rPr>
      <w:t>-20</w:t>
    </w:r>
    <w:r>
      <w:rPr>
        <w:b/>
        <w:bCs/>
        <w:sz w:val="21"/>
        <w:szCs w:val="21"/>
        <w:u w:val="single"/>
      </w:rPr>
      <w:t xml:space="preserve">24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45E"/>
    <w:rsid w:val="002D7587"/>
    <w:rsid w:val="0034334F"/>
    <w:rsid w:val="00356914"/>
    <w:rsid w:val="00503CE0"/>
    <w:rsid w:val="005F3728"/>
    <w:rsid w:val="006B64A5"/>
    <w:rsid w:val="006E26A8"/>
    <w:rsid w:val="007D445E"/>
    <w:rsid w:val="00B10144"/>
    <w:rsid w:val="00F57646"/>
    <w:rsid w:val="00F74D3C"/>
    <w:rsid w:val="00FB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45E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character" w:customStyle="1" w:styleId="ilfuvd">
    <w:name w:val="ilfuvd"/>
    <w:basedOn w:val="DefaultParagraphFont"/>
    <w:rsid w:val="007D445E"/>
  </w:style>
  <w:style w:type="table" w:styleId="TableGrid">
    <w:name w:val="Table Grid"/>
    <w:basedOn w:val="TableNormal"/>
    <w:uiPriority w:val="59"/>
    <w:rsid w:val="007D44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D445E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87"/>
  </w:style>
  <w:style w:type="paragraph" w:styleId="Footer">
    <w:name w:val="footer"/>
    <w:basedOn w:val="Normal"/>
    <w:link w:val="FooterChar"/>
    <w:uiPriority w:val="99"/>
    <w:semiHidden/>
    <w:unhideWhenUsed/>
    <w:rsid w:val="002D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6</cp:revision>
  <cp:lastPrinted>2024-05-07T10:28:00Z</cp:lastPrinted>
  <dcterms:created xsi:type="dcterms:W3CDTF">2024-05-07T09:51:00Z</dcterms:created>
  <dcterms:modified xsi:type="dcterms:W3CDTF">2024-05-07T10:40:00Z</dcterms:modified>
</cp:coreProperties>
</file>